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03436" w14:textId="7D5B49B5" w:rsidR="00FA4022" w:rsidRPr="00FA4022" w:rsidRDefault="00FA4022" w:rsidP="00D271EF">
      <w:pPr>
        <w:jc w:val="center"/>
        <w:rPr>
          <w:b/>
          <w:bCs/>
          <w:color w:val="FF0000"/>
          <w:sz w:val="28"/>
          <w:szCs w:val="28"/>
          <w:lang w:val="es-ES"/>
        </w:rPr>
      </w:pPr>
      <w:r w:rsidRPr="00FA4022">
        <w:rPr>
          <w:b/>
          <w:bCs/>
          <w:color w:val="FF0000"/>
          <w:sz w:val="28"/>
          <w:szCs w:val="28"/>
          <w:lang w:val="es-ES"/>
        </w:rPr>
        <w:t>FECHA: 04.08.2020</w:t>
      </w:r>
    </w:p>
    <w:p w14:paraId="64203B1B" w14:textId="3B172842" w:rsidR="006734ED" w:rsidRPr="00FA4022" w:rsidRDefault="006734ED" w:rsidP="00D271EF">
      <w:pPr>
        <w:jc w:val="center"/>
        <w:rPr>
          <w:b/>
          <w:bCs/>
          <w:color w:val="FF0000"/>
          <w:sz w:val="28"/>
          <w:szCs w:val="28"/>
          <w:lang w:val="es-ES"/>
        </w:rPr>
      </w:pPr>
      <w:r w:rsidRPr="00FA4022">
        <w:rPr>
          <w:b/>
          <w:bCs/>
          <w:color w:val="FF0000"/>
          <w:sz w:val="28"/>
          <w:szCs w:val="28"/>
          <w:lang w:val="es-ES"/>
        </w:rPr>
        <w:t xml:space="preserve">PROYECTO DE LEY </w:t>
      </w:r>
      <w:r w:rsidR="00D22031" w:rsidRPr="00FA4022">
        <w:rPr>
          <w:b/>
          <w:bCs/>
          <w:color w:val="FF0000"/>
          <w:sz w:val="28"/>
          <w:szCs w:val="28"/>
          <w:lang w:val="es-ES"/>
        </w:rPr>
        <w:t xml:space="preserve">MODIFICATORIA </w:t>
      </w:r>
      <w:r w:rsidRPr="00FA4022">
        <w:rPr>
          <w:b/>
          <w:bCs/>
          <w:color w:val="FF0000"/>
          <w:sz w:val="28"/>
          <w:szCs w:val="28"/>
          <w:lang w:val="es-ES"/>
        </w:rPr>
        <w:t xml:space="preserve">DE </w:t>
      </w:r>
      <w:r w:rsidR="00D22031" w:rsidRPr="00FA4022">
        <w:rPr>
          <w:b/>
          <w:bCs/>
          <w:color w:val="FF0000"/>
          <w:sz w:val="28"/>
          <w:szCs w:val="28"/>
          <w:lang w:val="es-ES"/>
        </w:rPr>
        <w:t xml:space="preserve">LA </w:t>
      </w:r>
      <w:r w:rsidRPr="00FA4022">
        <w:rPr>
          <w:b/>
          <w:bCs/>
          <w:color w:val="FF0000"/>
          <w:sz w:val="28"/>
          <w:szCs w:val="28"/>
          <w:lang w:val="es-ES"/>
        </w:rPr>
        <w:t>MORATORIA DE AFIP</w:t>
      </w:r>
      <w:r w:rsidR="00DD7E37" w:rsidRPr="00FA4022">
        <w:rPr>
          <w:b/>
          <w:bCs/>
          <w:color w:val="FF0000"/>
          <w:sz w:val="28"/>
          <w:szCs w:val="28"/>
          <w:lang w:val="es-ES"/>
        </w:rPr>
        <w:t xml:space="preserve"> APROBADO POR DIPUTADOS</w:t>
      </w:r>
    </w:p>
    <w:p w14:paraId="3C611EA9" w14:textId="2ECA770C" w:rsidR="0031735F" w:rsidRDefault="0031735F" w:rsidP="00B443F5">
      <w:pPr>
        <w:jc w:val="center"/>
        <w:rPr>
          <w:b/>
          <w:bCs/>
          <w:color w:val="FF0000"/>
          <w:sz w:val="24"/>
          <w:szCs w:val="24"/>
          <w:lang w:val="es-ES"/>
        </w:rPr>
      </w:pPr>
    </w:p>
    <w:p w14:paraId="4F14099E" w14:textId="77777777" w:rsidR="0031735F" w:rsidRPr="0041380F" w:rsidRDefault="0031735F" w:rsidP="0031735F">
      <w:pPr>
        <w:jc w:val="both"/>
        <w:rPr>
          <w:sz w:val="24"/>
          <w:szCs w:val="24"/>
          <w:lang w:val="es-ES"/>
        </w:rPr>
      </w:pPr>
      <w:r w:rsidRPr="0041380F">
        <w:rPr>
          <w:sz w:val="24"/>
          <w:szCs w:val="24"/>
          <w:lang w:val="es-ES"/>
        </w:rPr>
        <w:t>Diego Fraga, Agustina Riggio Nifosi</w:t>
      </w:r>
    </w:p>
    <w:p w14:paraId="5B470327" w14:textId="77777777" w:rsidR="00F30997" w:rsidRDefault="00F30997" w:rsidP="002C0D38">
      <w:pPr>
        <w:jc w:val="both"/>
        <w:rPr>
          <w:sz w:val="24"/>
          <w:szCs w:val="24"/>
          <w:lang w:val="es-ES"/>
        </w:rPr>
      </w:pPr>
    </w:p>
    <w:p w14:paraId="4F33B1E3" w14:textId="11735220" w:rsidR="000B2172" w:rsidRDefault="003C3CE9" w:rsidP="00E400C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</w:t>
      </w:r>
      <w:r w:rsidR="00504B4D">
        <w:rPr>
          <w:sz w:val="24"/>
          <w:szCs w:val="24"/>
          <w:lang w:val="es-ES"/>
        </w:rPr>
        <w:t>31</w:t>
      </w:r>
      <w:r>
        <w:rPr>
          <w:sz w:val="24"/>
          <w:szCs w:val="24"/>
          <w:lang w:val="es-ES"/>
        </w:rPr>
        <w:t xml:space="preserve"> de julio 2020 </w:t>
      </w:r>
      <w:r w:rsidR="005D6C9C">
        <w:rPr>
          <w:sz w:val="24"/>
          <w:szCs w:val="24"/>
          <w:lang w:val="es-ES"/>
        </w:rPr>
        <w:t xml:space="preserve">la Cámara de Diputados de la Nación </w:t>
      </w:r>
      <w:r w:rsidR="004279C8">
        <w:rPr>
          <w:sz w:val="24"/>
          <w:szCs w:val="24"/>
          <w:lang w:val="es-ES"/>
        </w:rPr>
        <w:t xml:space="preserve">dio media sanción, </w:t>
      </w:r>
      <w:r w:rsidR="00504B4D">
        <w:rPr>
          <w:sz w:val="24"/>
          <w:szCs w:val="24"/>
          <w:lang w:val="es-ES"/>
        </w:rPr>
        <w:t>con algunas modificaciones</w:t>
      </w:r>
      <w:r w:rsidR="004279C8">
        <w:rPr>
          <w:sz w:val="24"/>
          <w:szCs w:val="24"/>
          <w:lang w:val="es-ES"/>
        </w:rPr>
        <w:t>,</w:t>
      </w:r>
      <w:r w:rsidR="00504B4D">
        <w:rPr>
          <w:sz w:val="24"/>
          <w:szCs w:val="24"/>
          <w:lang w:val="es-ES"/>
        </w:rPr>
        <w:t xml:space="preserve"> </w:t>
      </w:r>
      <w:r w:rsidR="004279C8">
        <w:rPr>
          <w:sz w:val="24"/>
          <w:szCs w:val="24"/>
          <w:lang w:val="es-ES"/>
        </w:rPr>
        <w:t>a</w:t>
      </w:r>
      <w:r w:rsidR="005D6C9C">
        <w:rPr>
          <w:sz w:val="24"/>
          <w:szCs w:val="24"/>
          <w:lang w:val="es-ES"/>
        </w:rPr>
        <w:t xml:space="preserve">l proyecto de ley que amplía la moratoria dispuesta por la Ley </w:t>
      </w:r>
      <w:proofErr w:type="spellStart"/>
      <w:r w:rsidR="005D6C9C">
        <w:rPr>
          <w:sz w:val="24"/>
          <w:szCs w:val="24"/>
          <w:lang w:val="es-ES"/>
        </w:rPr>
        <w:t>Nº</w:t>
      </w:r>
      <w:proofErr w:type="spellEnd"/>
      <w:r w:rsidR="005D6C9C">
        <w:rPr>
          <w:sz w:val="24"/>
          <w:szCs w:val="24"/>
          <w:lang w:val="es-ES"/>
        </w:rPr>
        <w:t xml:space="preserve"> 27.541, </w:t>
      </w:r>
      <w:r w:rsidR="008376CC">
        <w:rPr>
          <w:sz w:val="24"/>
          <w:szCs w:val="24"/>
          <w:lang w:val="es-ES"/>
        </w:rPr>
        <w:t>con la finalidad de paliar los efectos negativos económicos generados por el COVID-19</w:t>
      </w:r>
      <w:r w:rsidR="005D6C9C">
        <w:rPr>
          <w:sz w:val="24"/>
          <w:szCs w:val="24"/>
          <w:lang w:val="es-ES"/>
        </w:rPr>
        <w:t>.</w:t>
      </w:r>
    </w:p>
    <w:p w14:paraId="6356B73A" w14:textId="56C21CA0" w:rsidR="00504B4D" w:rsidRDefault="00504B4D" w:rsidP="00E400C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de las principales modificaciones realizadas en la Cámara de Diputados es que se admitirá que puedan regularizarse las obligaciones vencidas al 31 de julio de 2020 -previamente el límite temporal era el 30 de junio de 2020-.</w:t>
      </w:r>
      <w:r w:rsidR="00454A7A">
        <w:rPr>
          <w:sz w:val="24"/>
          <w:szCs w:val="24"/>
          <w:lang w:val="es-ES"/>
        </w:rPr>
        <w:t xml:space="preserve"> Asimismo</w:t>
      </w:r>
      <w:r w:rsidR="004279C8">
        <w:rPr>
          <w:sz w:val="24"/>
          <w:szCs w:val="24"/>
          <w:lang w:val="es-ES"/>
        </w:rPr>
        <w:t>,</w:t>
      </w:r>
      <w:r w:rsidR="00454A7A">
        <w:rPr>
          <w:sz w:val="24"/>
          <w:szCs w:val="24"/>
          <w:lang w:val="es-ES"/>
        </w:rPr>
        <w:t xml:space="preserve"> se contempla que la primera cuota vencerá en diciembre, en </w:t>
      </w:r>
      <w:r w:rsidR="004279C8">
        <w:rPr>
          <w:sz w:val="24"/>
          <w:szCs w:val="24"/>
          <w:lang w:val="es-ES"/>
        </w:rPr>
        <w:t xml:space="preserve">lugar de hacerlo </w:t>
      </w:r>
      <w:r w:rsidR="00454A7A">
        <w:rPr>
          <w:sz w:val="24"/>
          <w:szCs w:val="24"/>
          <w:lang w:val="es-ES"/>
        </w:rPr>
        <w:t>en noviembre, tal como lo disponía el proyecto original.</w:t>
      </w:r>
    </w:p>
    <w:p w14:paraId="4D771567" w14:textId="77777777" w:rsidR="00803B06" w:rsidRPr="00803B06" w:rsidRDefault="00803B06" w:rsidP="00803B06">
      <w:pPr>
        <w:jc w:val="both"/>
        <w:rPr>
          <w:sz w:val="24"/>
          <w:szCs w:val="24"/>
          <w:lang w:val="es-ES"/>
        </w:rPr>
      </w:pPr>
      <w:r w:rsidRPr="00803B06">
        <w:rPr>
          <w:sz w:val="24"/>
          <w:szCs w:val="24"/>
          <w:lang w:val="es-ES"/>
        </w:rPr>
        <w:t>Dependiendo del tamaño, las firmas e individuos podrán regularizar sus deudas en hasta 96 o 120 cuotas para las obligaciones tributarias y aduaneras, y en 48 o 60 cuotas para las correspondientes a los recursos de la Seguridad Social.</w:t>
      </w:r>
    </w:p>
    <w:p w14:paraId="6FD10A74" w14:textId="0D0EB05A" w:rsidR="00803B06" w:rsidRDefault="00803B06" w:rsidP="00803B06">
      <w:pPr>
        <w:jc w:val="both"/>
        <w:rPr>
          <w:sz w:val="24"/>
          <w:szCs w:val="24"/>
          <w:lang w:val="es-ES"/>
        </w:rPr>
      </w:pPr>
      <w:r w:rsidRPr="00803B06">
        <w:rPr>
          <w:sz w:val="24"/>
          <w:szCs w:val="24"/>
          <w:lang w:val="es-ES"/>
        </w:rPr>
        <w:t>También prevé la condonación parcial de intereses y total de las multas; establece una tasa de interés fija del 2% mensual hasta enero de 2021 y, a partir de ese momento, una tasa variable en pesos.</w:t>
      </w:r>
    </w:p>
    <w:p w14:paraId="4B1DC717" w14:textId="748E1AFB" w:rsidR="007B797C" w:rsidRDefault="004279C8" w:rsidP="00E400C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Una de las novedades del proyecto aprobado es que prevé</w:t>
      </w:r>
      <w:r w:rsidR="007B797C">
        <w:rPr>
          <w:sz w:val="24"/>
          <w:szCs w:val="24"/>
          <w:lang w:val="es-ES"/>
        </w:rPr>
        <w:t xml:space="preserve"> una serie de beneficios para aquellos contribuyentes cumplidores,</w:t>
      </w:r>
      <w:r w:rsidR="00F15C9E">
        <w:rPr>
          <w:sz w:val="24"/>
          <w:szCs w:val="24"/>
          <w:lang w:val="es-ES"/>
        </w:rPr>
        <w:t xml:space="preserve"> es decir aquellos que no registren incumplimientos formales o materiales en las obligaciones correspondientes a los períodos fiscales iniciados a partir del 1º de enero de 2017,</w:t>
      </w:r>
      <w:r w:rsidR="007B797C">
        <w:rPr>
          <w:sz w:val="24"/>
          <w:szCs w:val="24"/>
          <w:lang w:val="es-ES"/>
        </w:rPr>
        <w:t xml:space="preserve"> los cuales se distinguirán según la condición tributaria que revistan.</w:t>
      </w:r>
      <w:r w:rsidR="00F15C9E">
        <w:rPr>
          <w:sz w:val="24"/>
          <w:szCs w:val="24"/>
          <w:lang w:val="es-ES"/>
        </w:rPr>
        <w:t xml:space="preserve"> Los mencionados beneficios serán aplicables a los ejercicios finalizados con posterioridad al 30 de diciembre de 2020, y no podrán dar lugar a la generación de saldos a favor, ni podrá trasladarse a ejercicios futuros. Asimismo</w:t>
      </w:r>
      <w:r>
        <w:rPr>
          <w:sz w:val="24"/>
          <w:szCs w:val="24"/>
          <w:lang w:val="es-ES"/>
        </w:rPr>
        <w:t>,</w:t>
      </w:r>
      <w:r w:rsidR="00F15C9E">
        <w:rPr>
          <w:sz w:val="24"/>
          <w:szCs w:val="24"/>
          <w:lang w:val="es-ES"/>
        </w:rPr>
        <w:t xml:space="preserve"> se dispuso que los beneficios son excluyentes</w:t>
      </w:r>
      <w:r>
        <w:rPr>
          <w:sz w:val="24"/>
          <w:szCs w:val="24"/>
          <w:lang w:val="es-ES"/>
        </w:rPr>
        <w:t>, y son los siguientes:</w:t>
      </w:r>
    </w:p>
    <w:p w14:paraId="1AF9881E" w14:textId="4E0EDC67" w:rsidR="007B797C" w:rsidRPr="00D271EF" w:rsidRDefault="007B797C" w:rsidP="00D271E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D271EF">
        <w:rPr>
          <w:sz w:val="24"/>
          <w:szCs w:val="24"/>
          <w:lang w:val="es-ES"/>
        </w:rPr>
        <w:t>Sujetos adheridos al Régimen Simplificado de Pequeños Contribuyentes: exención del componente impositivo y cuotas que varían según la categoría. En este caso se dispone que la exención no podrá superar el importe total equivalente a $17.500</w:t>
      </w:r>
      <w:r w:rsidR="004279C8" w:rsidRPr="00D271EF">
        <w:rPr>
          <w:sz w:val="24"/>
          <w:szCs w:val="24"/>
          <w:lang w:val="es-ES"/>
        </w:rPr>
        <w:t>.</w:t>
      </w:r>
    </w:p>
    <w:p w14:paraId="5239B1C5" w14:textId="243EA7C7" w:rsidR="007B797C" w:rsidRPr="00D271EF" w:rsidRDefault="007B797C" w:rsidP="00D271EF">
      <w:pPr>
        <w:pStyle w:val="Prrafodelista"/>
        <w:numPr>
          <w:ilvl w:val="0"/>
          <w:numId w:val="3"/>
        </w:numPr>
        <w:jc w:val="both"/>
        <w:rPr>
          <w:sz w:val="24"/>
          <w:szCs w:val="24"/>
          <w:lang w:val="es-ES"/>
        </w:rPr>
      </w:pPr>
      <w:r w:rsidRPr="00D271EF">
        <w:rPr>
          <w:sz w:val="24"/>
          <w:szCs w:val="24"/>
          <w:lang w:val="es-ES"/>
        </w:rPr>
        <w:t>Contribuyentes del Impuesto a las Ganancias: deducción especial según el tipo de contribuyente. En consecuencia</w:t>
      </w:r>
      <w:r w:rsidR="004279C8" w:rsidRPr="00D271EF">
        <w:rPr>
          <w:sz w:val="24"/>
          <w:szCs w:val="24"/>
          <w:lang w:val="es-ES"/>
        </w:rPr>
        <w:t>,</w:t>
      </w:r>
      <w:r w:rsidRPr="00D271EF">
        <w:rPr>
          <w:sz w:val="24"/>
          <w:szCs w:val="24"/>
          <w:lang w:val="es-ES"/>
        </w:rPr>
        <w:t xml:space="preserve"> las deducciones serán: </w:t>
      </w:r>
    </w:p>
    <w:p w14:paraId="6B3ED316" w14:textId="6822791E" w:rsidR="007B797C" w:rsidRPr="00D271EF" w:rsidRDefault="007B797C" w:rsidP="00D271EF">
      <w:pPr>
        <w:pStyle w:val="Prrafodelista"/>
        <w:numPr>
          <w:ilvl w:val="1"/>
          <w:numId w:val="3"/>
        </w:numPr>
        <w:jc w:val="both"/>
        <w:rPr>
          <w:sz w:val="24"/>
          <w:szCs w:val="24"/>
          <w:lang w:val="es-ES"/>
        </w:rPr>
      </w:pPr>
      <w:r w:rsidRPr="00D271EF">
        <w:rPr>
          <w:sz w:val="24"/>
          <w:szCs w:val="24"/>
          <w:lang w:val="es-ES"/>
        </w:rPr>
        <w:t xml:space="preserve">Personas humanas y sucesiones indivisas: deducción por un período fiscal, de sus ganancias netas, un importe equivalente al 50% del previsto </w:t>
      </w:r>
      <w:r w:rsidRPr="00D271EF">
        <w:rPr>
          <w:sz w:val="24"/>
          <w:szCs w:val="24"/>
          <w:lang w:val="es-ES"/>
        </w:rPr>
        <w:lastRenderedPageBreak/>
        <w:t>en el art. 30, inc. a) de la Ley de Impuesto a las Ganancias</w:t>
      </w:r>
      <w:r w:rsidR="004279C8" w:rsidRPr="00D271EF">
        <w:rPr>
          <w:sz w:val="24"/>
          <w:szCs w:val="24"/>
          <w:lang w:val="es-ES"/>
        </w:rPr>
        <w:t xml:space="preserve"> (mínimo no imponible)</w:t>
      </w:r>
      <w:r w:rsidRPr="00D271EF">
        <w:rPr>
          <w:sz w:val="24"/>
          <w:szCs w:val="24"/>
          <w:lang w:val="es-ES"/>
        </w:rPr>
        <w:t xml:space="preserve">; </w:t>
      </w:r>
    </w:p>
    <w:p w14:paraId="78C651D8" w14:textId="35FA01F4" w:rsidR="007B797C" w:rsidRPr="00D271EF" w:rsidRDefault="007B797C" w:rsidP="00D271EF">
      <w:pPr>
        <w:pStyle w:val="Prrafodelista"/>
        <w:numPr>
          <w:ilvl w:val="1"/>
          <w:numId w:val="3"/>
        </w:numPr>
        <w:jc w:val="both"/>
        <w:rPr>
          <w:sz w:val="24"/>
          <w:szCs w:val="24"/>
          <w:lang w:val="es-ES"/>
        </w:rPr>
      </w:pPr>
      <w:r w:rsidRPr="00D271EF">
        <w:rPr>
          <w:sz w:val="24"/>
          <w:szCs w:val="24"/>
          <w:lang w:val="es-ES"/>
        </w:rPr>
        <w:t>Micro y Pequeñas empresas -art. 53 de la Ley de Impuesto a las Ganancias:</w:t>
      </w:r>
      <w:r w:rsidR="00F9075E" w:rsidRPr="00D271EF">
        <w:rPr>
          <w:sz w:val="24"/>
          <w:szCs w:val="24"/>
          <w:lang w:val="es-ES"/>
        </w:rPr>
        <w:t xml:space="preserve"> </w:t>
      </w:r>
      <w:r w:rsidR="00604640" w:rsidRPr="00D271EF">
        <w:rPr>
          <w:sz w:val="24"/>
          <w:szCs w:val="24"/>
          <w:lang w:val="es-ES"/>
        </w:rPr>
        <w:t xml:space="preserve">amortizaciones desde el periodo fiscal de habilitación del bien, o según un régimen </w:t>
      </w:r>
      <w:r w:rsidR="004279C8" w:rsidRPr="00D271EF">
        <w:rPr>
          <w:sz w:val="24"/>
          <w:szCs w:val="24"/>
          <w:lang w:val="es-ES"/>
        </w:rPr>
        <w:t>específico</w:t>
      </w:r>
      <w:r w:rsidR="00604640" w:rsidRPr="00D271EF">
        <w:rPr>
          <w:sz w:val="24"/>
          <w:szCs w:val="24"/>
          <w:lang w:val="es-ES"/>
        </w:rPr>
        <w:t xml:space="preserve"> detallado en el proyecto. </w:t>
      </w:r>
      <w:r w:rsidR="004279C8" w:rsidRPr="00D271EF">
        <w:rPr>
          <w:sz w:val="24"/>
          <w:szCs w:val="24"/>
          <w:lang w:val="es-ES"/>
        </w:rPr>
        <w:t>Asimismo,</w:t>
      </w:r>
      <w:r w:rsidR="00604640" w:rsidRPr="00D271EF">
        <w:rPr>
          <w:sz w:val="24"/>
          <w:szCs w:val="24"/>
          <w:lang w:val="es-ES"/>
        </w:rPr>
        <w:t xml:space="preserve"> se dispone que dichas amortizaciones serán aplicables para las inversiones efectivizadas hasta el 31 de diciembre de 2021, y que el contribuyente deberá informar a la autoridad de aplicación el procedimiento de amortización</w:t>
      </w:r>
      <w:r w:rsidR="004942C3" w:rsidRPr="00D271EF">
        <w:rPr>
          <w:sz w:val="24"/>
          <w:szCs w:val="24"/>
          <w:lang w:val="es-ES"/>
        </w:rPr>
        <w:t xml:space="preserve"> elegido</w:t>
      </w:r>
      <w:r w:rsidR="00604640" w:rsidRPr="00D271EF">
        <w:rPr>
          <w:sz w:val="24"/>
          <w:szCs w:val="24"/>
          <w:lang w:val="es-ES"/>
        </w:rPr>
        <w:t xml:space="preserve">. </w:t>
      </w:r>
    </w:p>
    <w:p w14:paraId="36B59B18" w14:textId="7B480F01" w:rsidR="00803B06" w:rsidRPr="00803B06" w:rsidRDefault="00D86A6A" w:rsidP="00803B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Otro aspecto novedoso del proyecto con media sanción es que se</w:t>
      </w:r>
      <w:r w:rsidR="00803B06">
        <w:rPr>
          <w:sz w:val="24"/>
          <w:szCs w:val="24"/>
          <w:lang w:val="es-ES"/>
        </w:rPr>
        <w:t xml:space="preserve"> excluirán de la posibilidad de acogerse al régimen a las p</w:t>
      </w:r>
      <w:r w:rsidR="00803B06" w:rsidRPr="00803B06">
        <w:rPr>
          <w:sz w:val="24"/>
          <w:szCs w:val="24"/>
          <w:lang w:val="es-ES"/>
        </w:rPr>
        <w:t>ersonas humanas o jurídicas que posean activos financieros situados en el exterior, excepto que se verifique la repatriación de al menos el 30% del producido de su realización, dentro de los 60 días desde la adhesión al presente régimen, en los términos y condiciones que determine la reglamentación.</w:t>
      </w:r>
    </w:p>
    <w:p w14:paraId="0F40EEC9" w14:textId="24993BBA" w:rsidR="00803B06" w:rsidRDefault="00803B06" w:rsidP="00803B06">
      <w:pPr>
        <w:jc w:val="both"/>
        <w:rPr>
          <w:sz w:val="24"/>
          <w:szCs w:val="24"/>
          <w:lang w:val="es-ES"/>
        </w:rPr>
      </w:pPr>
      <w:r w:rsidRPr="00803B06">
        <w:rPr>
          <w:sz w:val="24"/>
          <w:szCs w:val="24"/>
          <w:lang w:val="es-ES"/>
        </w:rPr>
        <w:t>Para el caso de personas jurídicas, la condición de repatriación será de aplicación para sus socios y accionistas, directos e indirectos, que posean un porcentaje no inferior al 30% del capital social de las mismas.</w:t>
      </w:r>
    </w:p>
    <w:p w14:paraId="1D3B8032" w14:textId="11B5A71E" w:rsidR="00803B06" w:rsidRDefault="00803B06" w:rsidP="00803B06">
      <w:pPr>
        <w:jc w:val="both"/>
        <w:rPr>
          <w:sz w:val="24"/>
          <w:szCs w:val="24"/>
          <w:lang w:val="es-ES"/>
        </w:rPr>
      </w:pPr>
      <w:r w:rsidRPr="00803B06">
        <w:rPr>
          <w:sz w:val="24"/>
          <w:szCs w:val="24"/>
          <w:lang w:val="es-ES"/>
        </w:rPr>
        <w:t>Queda</w:t>
      </w:r>
      <w:r w:rsidR="00D86A6A">
        <w:rPr>
          <w:sz w:val="24"/>
          <w:szCs w:val="24"/>
          <w:lang w:val="es-ES"/>
        </w:rPr>
        <w:t>rá</w:t>
      </w:r>
      <w:r w:rsidRPr="00803B06">
        <w:rPr>
          <w:sz w:val="24"/>
          <w:szCs w:val="24"/>
          <w:lang w:val="es-ES"/>
        </w:rPr>
        <w:t>n incluidos en esta</w:t>
      </w:r>
      <w:r>
        <w:rPr>
          <w:sz w:val="24"/>
          <w:szCs w:val="24"/>
          <w:lang w:val="es-ES"/>
        </w:rPr>
        <w:t xml:space="preserve"> exclusión </w:t>
      </w:r>
      <w:r w:rsidRPr="00803B06">
        <w:rPr>
          <w:sz w:val="24"/>
          <w:szCs w:val="24"/>
          <w:lang w:val="es-ES"/>
        </w:rPr>
        <w:t>quienes revistan la calidad de uniones transitorias, agrupamientos de colaboración, consorcios de cooperación, asociaciones sin existencia legal como personas jurídicas, agrupamientos no societarios o cualquier otro ente individual o colectivo, incluidos fideicomisos.</w:t>
      </w:r>
    </w:p>
    <w:p w14:paraId="720680E7" w14:textId="10627F05" w:rsidR="00803B06" w:rsidRPr="00803B06" w:rsidRDefault="00803B06" w:rsidP="00803B0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</w:t>
      </w:r>
      <w:r w:rsidRPr="00803B06">
        <w:rPr>
          <w:sz w:val="24"/>
          <w:szCs w:val="24"/>
          <w:lang w:val="es-ES"/>
        </w:rPr>
        <w:t>e entenderá por activos financieros situados en el exterior</w:t>
      </w:r>
      <w:r w:rsidR="00D86A6A">
        <w:rPr>
          <w:sz w:val="24"/>
          <w:szCs w:val="24"/>
          <w:lang w:val="es-ES"/>
        </w:rPr>
        <w:t xml:space="preserve"> a los siguientes</w:t>
      </w:r>
      <w:r w:rsidRPr="00803B06">
        <w:rPr>
          <w:sz w:val="24"/>
          <w:szCs w:val="24"/>
          <w:lang w:val="es-ES"/>
        </w:rPr>
        <w:t>:</w:t>
      </w:r>
    </w:p>
    <w:p w14:paraId="5DC31BBB" w14:textId="65A62AD8" w:rsidR="00803B06" w:rsidRPr="00803B06" w:rsidRDefault="00803B06" w:rsidP="00803B0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803B06">
        <w:rPr>
          <w:sz w:val="24"/>
          <w:szCs w:val="24"/>
          <w:lang w:val="es-ES"/>
        </w:rPr>
        <w:t>la tenencia de moneda extranjera depositada en entidades bancarias y/o financieras y/o similares del exterior,</w:t>
      </w:r>
    </w:p>
    <w:p w14:paraId="746589CC" w14:textId="3DDA11AF" w:rsidR="00803B06" w:rsidRDefault="00D86A6A" w:rsidP="00803B0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las </w:t>
      </w:r>
      <w:r w:rsidR="00803B06" w:rsidRPr="00803B06">
        <w:rPr>
          <w:sz w:val="24"/>
          <w:szCs w:val="24"/>
          <w:lang w:val="es-ES"/>
        </w:rPr>
        <w:t>participaciones societarias y/o equivalentes (títulos valores privados, acciones, cuotas y demás participaciones) en todo tipo de entidades, sociedades o empresas, con o sin personería jurídica, constituidas, domiciliadas, radicadas o ubicadas en el exterior incluidas las empresas unipersonales;</w:t>
      </w:r>
    </w:p>
    <w:p w14:paraId="71DD3A56" w14:textId="3AC9B5E5" w:rsidR="00803B06" w:rsidRDefault="00D86A6A" w:rsidP="00803B0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r w:rsidR="00803B06" w:rsidRPr="00803B06">
        <w:rPr>
          <w:sz w:val="24"/>
          <w:szCs w:val="24"/>
          <w:lang w:val="es-ES"/>
        </w:rPr>
        <w:t>derechos inherentes al carácter de beneficiario, fideicomisario (o similar) de fideicomisos (</w:t>
      </w:r>
      <w:proofErr w:type="spellStart"/>
      <w:r w:rsidR="00803B06" w:rsidRPr="00803B06">
        <w:rPr>
          <w:sz w:val="24"/>
          <w:szCs w:val="24"/>
          <w:lang w:val="es-ES"/>
        </w:rPr>
        <w:t>trusts</w:t>
      </w:r>
      <w:proofErr w:type="spellEnd"/>
      <w:r w:rsidR="00803B06" w:rsidRPr="00803B06">
        <w:rPr>
          <w:sz w:val="24"/>
          <w:szCs w:val="24"/>
          <w:lang w:val="es-ES"/>
        </w:rPr>
        <w:t xml:space="preserve"> o similares) de cualquier tipo constituidos en el exterior, o en fundaciones de interés privado del exterior o en cualquier otro tipo de patrimonio de afectación similar situado, radicado, domiciliado y/o constituido en el exterior;</w:t>
      </w:r>
    </w:p>
    <w:p w14:paraId="31A427C0" w14:textId="77777777" w:rsidR="00803B06" w:rsidRDefault="00803B06" w:rsidP="00803B0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 w:rsidRPr="00803B06">
        <w:rPr>
          <w:sz w:val="24"/>
          <w:szCs w:val="24"/>
          <w:lang w:val="es-ES"/>
        </w:rPr>
        <w:t xml:space="preserve">toda clase de instrumentos financieros o títulos valores, tales como bonos, obligaciones negociables, valores representativos y certificados de depósito de acciones, </w:t>
      </w:r>
      <w:proofErr w:type="spellStart"/>
      <w:r w:rsidRPr="00803B06">
        <w:rPr>
          <w:sz w:val="24"/>
          <w:szCs w:val="24"/>
          <w:lang w:val="es-ES"/>
        </w:rPr>
        <w:t>cuotapartes</w:t>
      </w:r>
      <w:proofErr w:type="spellEnd"/>
      <w:r w:rsidRPr="00803B06">
        <w:rPr>
          <w:sz w:val="24"/>
          <w:szCs w:val="24"/>
          <w:lang w:val="es-ES"/>
        </w:rPr>
        <w:t xml:space="preserve"> de fondos comunes de inversión y otros similares, cualquiera sea su denominación;</w:t>
      </w:r>
    </w:p>
    <w:p w14:paraId="2595154E" w14:textId="1EB6A2E8" w:rsidR="00803B06" w:rsidRPr="00803B06" w:rsidRDefault="00D86A6A" w:rsidP="00803B0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los </w:t>
      </w:r>
      <w:r w:rsidR="00803B06" w:rsidRPr="00803B06">
        <w:rPr>
          <w:sz w:val="24"/>
          <w:szCs w:val="24"/>
          <w:lang w:val="es-ES"/>
        </w:rPr>
        <w:t>créditos y todo tipo de derecho del exterior, susceptible de valor económico y toda otra especie que se prevea en la reglamentación.</w:t>
      </w:r>
    </w:p>
    <w:p w14:paraId="05BBCD72" w14:textId="435BBCB6" w:rsidR="003C059D" w:rsidRDefault="00803B06" w:rsidP="00E400C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Por su parte, el</w:t>
      </w:r>
      <w:r w:rsidRPr="00803B06">
        <w:rPr>
          <w:sz w:val="24"/>
          <w:szCs w:val="24"/>
          <w:lang w:val="es-ES"/>
        </w:rPr>
        <w:t xml:space="preserve"> proyecto prevé condiciones severas para que las empresas </w:t>
      </w:r>
      <w:r>
        <w:rPr>
          <w:sz w:val="24"/>
          <w:szCs w:val="24"/>
          <w:lang w:val="es-ES"/>
        </w:rPr>
        <w:t xml:space="preserve">que no encuadren como MiPyME </w:t>
      </w:r>
      <w:r w:rsidRPr="00803B06">
        <w:rPr>
          <w:sz w:val="24"/>
          <w:szCs w:val="24"/>
          <w:lang w:val="es-ES"/>
        </w:rPr>
        <w:t>puedan mantenerse en el régimen de amnistía</w:t>
      </w:r>
      <w:r>
        <w:rPr>
          <w:sz w:val="24"/>
          <w:szCs w:val="24"/>
          <w:lang w:val="es-ES"/>
        </w:rPr>
        <w:t xml:space="preserve">, pues </w:t>
      </w:r>
      <w:r>
        <w:rPr>
          <w:sz w:val="24"/>
          <w:szCs w:val="24"/>
          <w:lang w:val="es-ES"/>
        </w:rPr>
        <w:lastRenderedPageBreak/>
        <w:t>establece las siguientes causales de caducidad</w:t>
      </w:r>
      <w:r w:rsidRPr="00803B06">
        <w:rPr>
          <w:sz w:val="24"/>
          <w:szCs w:val="24"/>
          <w:lang w:val="es-ES"/>
        </w:rPr>
        <w:t xml:space="preserve">: durante 24 meses no podrán distribuir dividendos, realizar operaciones con títulos para sortear restricciones cambiarias ni acceder al mercado cambiario para realizar pagos a entidades vinculadas. </w:t>
      </w:r>
      <w:r w:rsidR="00C121F7">
        <w:rPr>
          <w:sz w:val="24"/>
          <w:szCs w:val="24"/>
          <w:lang w:val="es-ES"/>
        </w:rPr>
        <w:t>También se limitaría la posibilidad de</w:t>
      </w:r>
      <w:r w:rsidRPr="00803B06">
        <w:rPr>
          <w:sz w:val="24"/>
          <w:szCs w:val="24"/>
          <w:lang w:val="es-ES"/>
        </w:rPr>
        <w:t xml:space="preserve"> transferir divisas o comprar activos financieros en el exterior, so pena de</w:t>
      </w:r>
      <w:r w:rsidR="00C121F7">
        <w:rPr>
          <w:sz w:val="24"/>
          <w:szCs w:val="24"/>
          <w:lang w:val="es-ES"/>
        </w:rPr>
        <w:t>l</w:t>
      </w:r>
      <w:r w:rsidRPr="00803B06">
        <w:rPr>
          <w:sz w:val="24"/>
          <w:szCs w:val="24"/>
          <w:lang w:val="es-ES"/>
        </w:rPr>
        <w:t xml:space="preserve"> decaimiento de la moratoria, </w:t>
      </w:r>
      <w:r w:rsidR="00C121F7">
        <w:rPr>
          <w:sz w:val="24"/>
          <w:szCs w:val="24"/>
          <w:lang w:val="es-ES"/>
        </w:rPr>
        <w:t>y esta causal</w:t>
      </w:r>
      <w:r w:rsidRPr="00803B06">
        <w:rPr>
          <w:sz w:val="24"/>
          <w:szCs w:val="24"/>
          <w:lang w:val="es-ES"/>
        </w:rPr>
        <w:t xml:space="preserve"> aplica</w:t>
      </w:r>
      <w:r w:rsidR="00C121F7">
        <w:rPr>
          <w:sz w:val="24"/>
          <w:szCs w:val="24"/>
          <w:lang w:val="es-ES"/>
        </w:rPr>
        <w:t>ría</w:t>
      </w:r>
      <w:r w:rsidRPr="00803B06">
        <w:rPr>
          <w:sz w:val="24"/>
          <w:szCs w:val="24"/>
          <w:lang w:val="es-ES"/>
        </w:rPr>
        <w:t xml:space="preserve"> incluso a ciertos accionistas de las compañías que se adhieran.</w:t>
      </w:r>
    </w:p>
    <w:p w14:paraId="4245A84C" w14:textId="41A4768E" w:rsidR="007B797C" w:rsidRDefault="002B0597" w:rsidP="0096608F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Otra de las novedades del proyecto es que, </w:t>
      </w:r>
      <w:r w:rsidRPr="002B0597">
        <w:rPr>
          <w:sz w:val="24"/>
          <w:szCs w:val="24"/>
          <w:lang w:val="es-ES"/>
        </w:rPr>
        <w:t xml:space="preserve">en el caso de los declarados en quiebra sin continuación de explotación, podrán adherir a la moratoria a los fines de concluir con el proceso </w:t>
      </w:r>
      <w:proofErr w:type="spellStart"/>
      <w:r w:rsidRPr="002B0597">
        <w:rPr>
          <w:sz w:val="24"/>
          <w:szCs w:val="24"/>
          <w:lang w:val="es-ES"/>
        </w:rPr>
        <w:t>falencial</w:t>
      </w:r>
      <w:proofErr w:type="spellEnd"/>
      <w:r w:rsidRPr="002B0597">
        <w:rPr>
          <w:sz w:val="24"/>
          <w:szCs w:val="24"/>
          <w:lang w:val="es-ES"/>
        </w:rPr>
        <w:t xml:space="preserve">, siempre que se preste conformidad al avenimiento por parte de AFIP, se cumplan las condiciones dispuestas en la presente ley, y la conclusión del proceso </w:t>
      </w:r>
      <w:proofErr w:type="spellStart"/>
      <w:r w:rsidRPr="002B0597">
        <w:rPr>
          <w:sz w:val="24"/>
          <w:szCs w:val="24"/>
          <w:lang w:val="es-ES"/>
        </w:rPr>
        <w:t>falencial</w:t>
      </w:r>
      <w:proofErr w:type="spellEnd"/>
      <w:r w:rsidRPr="002B0597">
        <w:rPr>
          <w:sz w:val="24"/>
          <w:szCs w:val="24"/>
          <w:lang w:val="es-ES"/>
        </w:rPr>
        <w:t xml:space="preserve"> por avenimiento se realice dentro de los 90 días corridos desde la adhesión a la moratoria.</w:t>
      </w:r>
    </w:p>
    <w:p w14:paraId="1BC1DD7C" w14:textId="28D98F77" w:rsidR="005D2960" w:rsidRDefault="00763815" w:rsidP="0096608F">
      <w:pPr>
        <w:jc w:val="both"/>
        <w:rPr>
          <w:sz w:val="24"/>
          <w:szCs w:val="24"/>
          <w:lang w:val="es-ES"/>
        </w:rPr>
      </w:pPr>
      <w:r w:rsidRPr="00763815">
        <w:rPr>
          <w:sz w:val="24"/>
          <w:szCs w:val="24"/>
          <w:lang w:val="es-ES"/>
        </w:rPr>
        <w:t xml:space="preserve">A diferencia las leyes anteriores el proyecto permite ingresar deudas vinculadas con </w:t>
      </w:r>
      <w:r w:rsidR="008459C7">
        <w:rPr>
          <w:sz w:val="24"/>
          <w:szCs w:val="24"/>
          <w:lang w:val="es-ES"/>
        </w:rPr>
        <w:t xml:space="preserve">los diversos </w:t>
      </w:r>
      <w:r w:rsidRPr="00763815">
        <w:rPr>
          <w:sz w:val="24"/>
          <w:szCs w:val="24"/>
          <w:lang w:val="es-ES"/>
        </w:rPr>
        <w:t xml:space="preserve">impuestos sobre los combustibles y </w:t>
      </w:r>
      <w:r w:rsidR="008459C7">
        <w:rPr>
          <w:sz w:val="24"/>
          <w:szCs w:val="24"/>
          <w:lang w:val="es-ES"/>
        </w:rPr>
        <w:t>no se excluye a</w:t>
      </w:r>
      <w:r w:rsidRPr="00763815">
        <w:rPr>
          <w:sz w:val="24"/>
          <w:szCs w:val="24"/>
          <w:lang w:val="es-ES"/>
        </w:rPr>
        <w:t xml:space="preserve"> empresas dedicadas a la industria del juego. También se permite acogerse a beneficiarios de regímenes promocionales, inclusive caducos.</w:t>
      </w:r>
    </w:p>
    <w:p w14:paraId="335AB132" w14:textId="14FC5CAB" w:rsidR="00222AF2" w:rsidRDefault="0096608F" w:rsidP="002D4EA0">
      <w:pPr>
        <w:jc w:val="both"/>
        <w:rPr>
          <w:sz w:val="24"/>
          <w:szCs w:val="24"/>
          <w:lang w:val="es-ES"/>
        </w:rPr>
      </w:pPr>
      <w:r w:rsidRPr="0041380F">
        <w:rPr>
          <w:sz w:val="24"/>
          <w:szCs w:val="24"/>
          <w:lang w:val="es-ES"/>
        </w:rPr>
        <w:t xml:space="preserve">Para cualquier consulta, sírvase contactar a: </w:t>
      </w:r>
      <w:r w:rsidRPr="002D4EA0">
        <w:rPr>
          <w:b/>
          <w:bCs/>
          <w:sz w:val="24"/>
          <w:szCs w:val="24"/>
          <w:lang w:val="es-ES"/>
        </w:rPr>
        <w:t>Diego Fraga</w:t>
      </w:r>
      <w:r w:rsidRPr="0041380F">
        <w:rPr>
          <w:sz w:val="24"/>
          <w:szCs w:val="24"/>
          <w:lang w:val="es-ES"/>
        </w:rPr>
        <w:t xml:space="preserve"> (fraga@rctzz.com.ar) y/o </w:t>
      </w:r>
      <w:r w:rsidRPr="002D4EA0">
        <w:rPr>
          <w:b/>
          <w:bCs/>
          <w:sz w:val="24"/>
          <w:szCs w:val="24"/>
          <w:lang w:val="es-ES"/>
        </w:rPr>
        <w:t>Agustina Riggio Nifosi</w:t>
      </w:r>
      <w:r w:rsidRPr="0041380F">
        <w:rPr>
          <w:sz w:val="24"/>
          <w:szCs w:val="24"/>
          <w:lang w:val="es-ES"/>
        </w:rPr>
        <w:t xml:space="preserve"> (</w:t>
      </w:r>
      <w:hyperlink r:id="rId10" w:history="1">
        <w:r w:rsidRPr="00474107">
          <w:rPr>
            <w:rStyle w:val="Hipervnculo"/>
            <w:sz w:val="24"/>
            <w:szCs w:val="24"/>
            <w:lang w:val="es-ES"/>
          </w:rPr>
          <w:t>riggio@rctzz.com.ar</w:t>
        </w:r>
      </w:hyperlink>
      <w:r w:rsidRPr="0041380F">
        <w:rPr>
          <w:sz w:val="24"/>
          <w:szCs w:val="24"/>
          <w:lang w:val="es-ES"/>
        </w:rPr>
        <w:t>).</w:t>
      </w:r>
    </w:p>
    <w:sectPr w:rsidR="00222A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AB22A" w14:textId="77777777" w:rsidR="004266F0" w:rsidRDefault="004266F0" w:rsidP="0031735F">
      <w:pPr>
        <w:spacing w:after="0" w:line="240" w:lineRule="auto"/>
      </w:pPr>
      <w:r>
        <w:separator/>
      </w:r>
    </w:p>
  </w:endnote>
  <w:endnote w:type="continuationSeparator" w:id="0">
    <w:p w14:paraId="1CA59D8D" w14:textId="77777777" w:rsidR="004266F0" w:rsidRDefault="004266F0" w:rsidP="00317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A4E8D" w14:textId="77777777" w:rsidR="004266F0" w:rsidRDefault="004266F0" w:rsidP="0031735F">
      <w:pPr>
        <w:spacing w:after="0" w:line="240" w:lineRule="auto"/>
      </w:pPr>
      <w:r>
        <w:separator/>
      </w:r>
    </w:p>
  </w:footnote>
  <w:footnote w:type="continuationSeparator" w:id="0">
    <w:p w14:paraId="29DE0F47" w14:textId="77777777" w:rsidR="004266F0" w:rsidRDefault="004266F0" w:rsidP="00317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910BC"/>
    <w:multiLevelType w:val="hybridMultilevel"/>
    <w:tmpl w:val="1B1A0592"/>
    <w:lvl w:ilvl="0" w:tplc="8AB234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FDAA21D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125E5"/>
    <w:multiLevelType w:val="hybridMultilevel"/>
    <w:tmpl w:val="F4284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60454"/>
    <w:multiLevelType w:val="hybridMultilevel"/>
    <w:tmpl w:val="48008210"/>
    <w:lvl w:ilvl="0" w:tplc="48401B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3F5"/>
    <w:rsid w:val="0000334F"/>
    <w:rsid w:val="000325D6"/>
    <w:rsid w:val="000361E4"/>
    <w:rsid w:val="00046847"/>
    <w:rsid w:val="000555DF"/>
    <w:rsid w:val="00064626"/>
    <w:rsid w:val="00080817"/>
    <w:rsid w:val="000852BA"/>
    <w:rsid w:val="00093DDE"/>
    <w:rsid w:val="00095409"/>
    <w:rsid w:val="000A7377"/>
    <w:rsid w:val="000A7A94"/>
    <w:rsid w:val="000B2172"/>
    <w:rsid w:val="000B22BB"/>
    <w:rsid w:val="000B4945"/>
    <w:rsid w:val="000C2F13"/>
    <w:rsid w:val="000D744A"/>
    <w:rsid w:val="000E169B"/>
    <w:rsid w:val="000F4EFB"/>
    <w:rsid w:val="001063B6"/>
    <w:rsid w:val="00117565"/>
    <w:rsid w:val="00127131"/>
    <w:rsid w:val="0013169B"/>
    <w:rsid w:val="001337DD"/>
    <w:rsid w:val="00163B40"/>
    <w:rsid w:val="001676C5"/>
    <w:rsid w:val="001917C0"/>
    <w:rsid w:val="001A4B36"/>
    <w:rsid w:val="001B5B20"/>
    <w:rsid w:val="001C632D"/>
    <w:rsid w:val="001C70CD"/>
    <w:rsid w:val="001E30A3"/>
    <w:rsid w:val="001E7FCD"/>
    <w:rsid w:val="001F7D2D"/>
    <w:rsid w:val="002108D2"/>
    <w:rsid w:val="00210DCA"/>
    <w:rsid w:val="002110A9"/>
    <w:rsid w:val="00222AF2"/>
    <w:rsid w:val="002255E0"/>
    <w:rsid w:val="0023205F"/>
    <w:rsid w:val="00232319"/>
    <w:rsid w:val="002356E7"/>
    <w:rsid w:val="00251F25"/>
    <w:rsid w:val="00261E12"/>
    <w:rsid w:val="00281163"/>
    <w:rsid w:val="00281398"/>
    <w:rsid w:val="002A452E"/>
    <w:rsid w:val="002B0597"/>
    <w:rsid w:val="002B1E59"/>
    <w:rsid w:val="002B20C7"/>
    <w:rsid w:val="002C0D38"/>
    <w:rsid w:val="002C5BC1"/>
    <w:rsid w:val="002C7DAC"/>
    <w:rsid w:val="002D4EA0"/>
    <w:rsid w:val="002E694A"/>
    <w:rsid w:val="00305FBD"/>
    <w:rsid w:val="00307C29"/>
    <w:rsid w:val="003107CC"/>
    <w:rsid w:val="0031735F"/>
    <w:rsid w:val="00320A2B"/>
    <w:rsid w:val="0033431C"/>
    <w:rsid w:val="0035482A"/>
    <w:rsid w:val="00364972"/>
    <w:rsid w:val="0036758B"/>
    <w:rsid w:val="0037492A"/>
    <w:rsid w:val="00386818"/>
    <w:rsid w:val="003A0D52"/>
    <w:rsid w:val="003A4708"/>
    <w:rsid w:val="003A771F"/>
    <w:rsid w:val="003A7F3A"/>
    <w:rsid w:val="003C059D"/>
    <w:rsid w:val="003C3CE9"/>
    <w:rsid w:val="003D1A57"/>
    <w:rsid w:val="003E1757"/>
    <w:rsid w:val="003E21DA"/>
    <w:rsid w:val="003E4F7A"/>
    <w:rsid w:val="003E5BB7"/>
    <w:rsid w:val="003F0EF4"/>
    <w:rsid w:val="003F3C19"/>
    <w:rsid w:val="003F6A3B"/>
    <w:rsid w:val="003F72E4"/>
    <w:rsid w:val="0040757A"/>
    <w:rsid w:val="0041037C"/>
    <w:rsid w:val="0041380F"/>
    <w:rsid w:val="004266F0"/>
    <w:rsid w:val="004279C8"/>
    <w:rsid w:val="0043306E"/>
    <w:rsid w:val="00442BDC"/>
    <w:rsid w:val="00444AA0"/>
    <w:rsid w:val="00454A7A"/>
    <w:rsid w:val="00460366"/>
    <w:rsid w:val="0046691D"/>
    <w:rsid w:val="004704FA"/>
    <w:rsid w:val="00476177"/>
    <w:rsid w:val="004942C3"/>
    <w:rsid w:val="004A03DB"/>
    <w:rsid w:val="004B677E"/>
    <w:rsid w:val="004C0AA4"/>
    <w:rsid w:val="00504B4D"/>
    <w:rsid w:val="00506950"/>
    <w:rsid w:val="005131D8"/>
    <w:rsid w:val="00514F3F"/>
    <w:rsid w:val="00523B97"/>
    <w:rsid w:val="00575F04"/>
    <w:rsid w:val="005A255C"/>
    <w:rsid w:val="005B1629"/>
    <w:rsid w:val="005C281A"/>
    <w:rsid w:val="005C5174"/>
    <w:rsid w:val="005C7300"/>
    <w:rsid w:val="005D2960"/>
    <w:rsid w:val="005D6C9C"/>
    <w:rsid w:val="005F5B43"/>
    <w:rsid w:val="0060085E"/>
    <w:rsid w:val="00604640"/>
    <w:rsid w:val="00610134"/>
    <w:rsid w:val="00611B0A"/>
    <w:rsid w:val="00611F74"/>
    <w:rsid w:val="00620758"/>
    <w:rsid w:val="00630594"/>
    <w:rsid w:val="00645E7A"/>
    <w:rsid w:val="0064784C"/>
    <w:rsid w:val="00647C29"/>
    <w:rsid w:val="006533D8"/>
    <w:rsid w:val="006632B7"/>
    <w:rsid w:val="006734ED"/>
    <w:rsid w:val="00682FD4"/>
    <w:rsid w:val="00684480"/>
    <w:rsid w:val="006875D6"/>
    <w:rsid w:val="006A455A"/>
    <w:rsid w:val="006A564E"/>
    <w:rsid w:val="006B64B7"/>
    <w:rsid w:val="006C2B43"/>
    <w:rsid w:val="006C66E6"/>
    <w:rsid w:val="006E1DED"/>
    <w:rsid w:val="006E68CD"/>
    <w:rsid w:val="006F1F77"/>
    <w:rsid w:val="006F21C0"/>
    <w:rsid w:val="006F7E20"/>
    <w:rsid w:val="00723FA8"/>
    <w:rsid w:val="00763815"/>
    <w:rsid w:val="00791539"/>
    <w:rsid w:val="007A250B"/>
    <w:rsid w:val="007B2EEC"/>
    <w:rsid w:val="007B797C"/>
    <w:rsid w:val="007E1B20"/>
    <w:rsid w:val="00803B06"/>
    <w:rsid w:val="00822215"/>
    <w:rsid w:val="008376CC"/>
    <w:rsid w:val="008418A5"/>
    <w:rsid w:val="008459C7"/>
    <w:rsid w:val="008500CE"/>
    <w:rsid w:val="00850A85"/>
    <w:rsid w:val="0088001F"/>
    <w:rsid w:val="008C3839"/>
    <w:rsid w:val="008C6F82"/>
    <w:rsid w:val="008D5E5B"/>
    <w:rsid w:val="008D6725"/>
    <w:rsid w:val="008F26CA"/>
    <w:rsid w:val="008F3F41"/>
    <w:rsid w:val="008F5441"/>
    <w:rsid w:val="008F7210"/>
    <w:rsid w:val="009067D1"/>
    <w:rsid w:val="0090796A"/>
    <w:rsid w:val="00910194"/>
    <w:rsid w:val="00923305"/>
    <w:rsid w:val="00940B9F"/>
    <w:rsid w:val="00952B2B"/>
    <w:rsid w:val="00952B76"/>
    <w:rsid w:val="00964A83"/>
    <w:rsid w:val="0096608F"/>
    <w:rsid w:val="0099202C"/>
    <w:rsid w:val="00997A9F"/>
    <w:rsid w:val="009A224A"/>
    <w:rsid w:val="009B0E9C"/>
    <w:rsid w:val="009B1443"/>
    <w:rsid w:val="009C37D6"/>
    <w:rsid w:val="009E1019"/>
    <w:rsid w:val="009F1F77"/>
    <w:rsid w:val="00A0544F"/>
    <w:rsid w:val="00A110DF"/>
    <w:rsid w:val="00A24E82"/>
    <w:rsid w:val="00A256E7"/>
    <w:rsid w:val="00A27AF6"/>
    <w:rsid w:val="00A37D26"/>
    <w:rsid w:val="00A47AEF"/>
    <w:rsid w:val="00A516F3"/>
    <w:rsid w:val="00A676C8"/>
    <w:rsid w:val="00A87ACB"/>
    <w:rsid w:val="00AD2356"/>
    <w:rsid w:val="00B0739F"/>
    <w:rsid w:val="00B443F5"/>
    <w:rsid w:val="00B448D0"/>
    <w:rsid w:val="00B4731B"/>
    <w:rsid w:val="00B71EAF"/>
    <w:rsid w:val="00B72666"/>
    <w:rsid w:val="00B7758D"/>
    <w:rsid w:val="00B91A4C"/>
    <w:rsid w:val="00BA0AF1"/>
    <w:rsid w:val="00BA1A30"/>
    <w:rsid w:val="00BB1DFB"/>
    <w:rsid w:val="00BB2D2B"/>
    <w:rsid w:val="00BC20D6"/>
    <w:rsid w:val="00BC4AFA"/>
    <w:rsid w:val="00BC77E3"/>
    <w:rsid w:val="00BD3218"/>
    <w:rsid w:val="00BD493F"/>
    <w:rsid w:val="00BE70E6"/>
    <w:rsid w:val="00BF0A18"/>
    <w:rsid w:val="00BF37A2"/>
    <w:rsid w:val="00C06D2E"/>
    <w:rsid w:val="00C121F7"/>
    <w:rsid w:val="00C12CC7"/>
    <w:rsid w:val="00C22FDA"/>
    <w:rsid w:val="00C414A2"/>
    <w:rsid w:val="00C44565"/>
    <w:rsid w:val="00C503C2"/>
    <w:rsid w:val="00C51CFB"/>
    <w:rsid w:val="00C64AE0"/>
    <w:rsid w:val="00C70E2C"/>
    <w:rsid w:val="00C832E2"/>
    <w:rsid w:val="00C95975"/>
    <w:rsid w:val="00CB27AF"/>
    <w:rsid w:val="00CB3101"/>
    <w:rsid w:val="00CD0F0D"/>
    <w:rsid w:val="00CF3222"/>
    <w:rsid w:val="00D22031"/>
    <w:rsid w:val="00D24EFA"/>
    <w:rsid w:val="00D271EF"/>
    <w:rsid w:val="00D3658E"/>
    <w:rsid w:val="00D36C2D"/>
    <w:rsid w:val="00D615D6"/>
    <w:rsid w:val="00D75BCD"/>
    <w:rsid w:val="00D86A6A"/>
    <w:rsid w:val="00D92951"/>
    <w:rsid w:val="00DB4DA2"/>
    <w:rsid w:val="00DC7B91"/>
    <w:rsid w:val="00DD021B"/>
    <w:rsid w:val="00DD1438"/>
    <w:rsid w:val="00DD2F15"/>
    <w:rsid w:val="00DD7E37"/>
    <w:rsid w:val="00DF013D"/>
    <w:rsid w:val="00DF3879"/>
    <w:rsid w:val="00DF445A"/>
    <w:rsid w:val="00E146CC"/>
    <w:rsid w:val="00E32799"/>
    <w:rsid w:val="00E400CF"/>
    <w:rsid w:val="00E431FA"/>
    <w:rsid w:val="00E44A44"/>
    <w:rsid w:val="00E61B1B"/>
    <w:rsid w:val="00E65F22"/>
    <w:rsid w:val="00E82032"/>
    <w:rsid w:val="00E851F3"/>
    <w:rsid w:val="00E86562"/>
    <w:rsid w:val="00E87677"/>
    <w:rsid w:val="00E95910"/>
    <w:rsid w:val="00EA04ED"/>
    <w:rsid w:val="00EA60C3"/>
    <w:rsid w:val="00EB040B"/>
    <w:rsid w:val="00EB1563"/>
    <w:rsid w:val="00EB5B86"/>
    <w:rsid w:val="00EB60EC"/>
    <w:rsid w:val="00ED6EB4"/>
    <w:rsid w:val="00EE428D"/>
    <w:rsid w:val="00EF087B"/>
    <w:rsid w:val="00F0385C"/>
    <w:rsid w:val="00F15C9E"/>
    <w:rsid w:val="00F25E1E"/>
    <w:rsid w:val="00F30997"/>
    <w:rsid w:val="00F43FA4"/>
    <w:rsid w:val="00F609C8"/>
    <w:rsid w:val="00F64AAB"/>
    <w:rsid w:val="00F72516"/>
    <w:rsid w:val="00F8170F"/>
    <w:rsid w:val="00F83094"/>
    <w:rsid w:val="00F843A9"/>
    <w:rsid w:val="00F9075E"/>
    <w:rsid w:val="00FA4022"/>
    <w:rsid w:val="00FA5692"/>
    <w:rsid w:val="00FB3C99"/>
    <w:rsid w:val="00FB7650"/>
    <w:rsid w:val="00FC0A3C"/>
    <w:rsid w:val="00FD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55D"/>
  <w15:chartTrackingRefBased/>
  <w15:docId w15:val="{CCCDA759-E61E-4F62-99CE-88D2BBB2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3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35F"/>
  </w:style>
  <w:style w:type="paragraph" w:styleId="Piedepgina">
    <w:name w:val="footer"/>
    <w:basedOn w:val="Normal"/>
    <w:link w:val="PiedepginaCar"/>
    <w:uiPriority w:val="99"/>
    <w:unhideWhenUsed/>
    <w:rsid w:val="003173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35F"/>
  </w:style>
  <w:style w:type="character" w:styleId="Hipervnculo">
    <w:name w:val="Hyperlink"/>
    <w:basedOn w:val="Fuentedeprrafopredeter"/>
    <w:uiPriority w:val="99"/>
    <w:unhideWhenUsed/>
    <w:rsid w:val="0096608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6608F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C4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BC4A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BC4A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uiPriority w:val="34"/>
    <w:qFormat/>
    <w:rsid w:val="00803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9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riggio@rctzz.com.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08C5B668F1D4897FF1C78FE83FD9D" ma:contentTypeVersion="12" ma:contentTypeDescription="Create a new document." ma:contentTypeScope="" ma:versionID="7263b16e56f743bf28466afc5d6a65ed">
  <xsd:schema xmlns:xsd="http://www.w3.org/2001/XMLSchema" xmlns:xs="http://www.w3.org/2001/XMLSchema" xmlns:p="http://schemas.microsoft.com/office/2006/metadata/properties" xmlns:ns3="cd5bbba5-6f01-4971-976f-123f45931385" xmlns:ns4="f4f3d206-ab57-4882-8f8a-f21e3584efd4" targetNamespace="http://schemas.microsoft.com/office/2006/metadata/properties" ma:root="true" ma:fieldsID="135d0e3e4cc1786a30f70d16bd09e787" ns3:_="" ns4:_="">
    <xsd:import namespace="cd5bbba5-6f01-4971-976f-123f45931385"/>
    <xsd:import namespace="f4f3d206-ab57-4882-8f8a-f21e3584ef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bbba5-6f01-4971-976f-123f459313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3d206-ab57-4882-8f8a-f21e3584ef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0BDFA-0229-41DE-A998-38E0E7C42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bbba5-6f01-4971-976f-123f45931385"/>
    <ds:schemaRef ds:uri="f4f3d206-ab57-4882-8f8a-f21e3584ef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A41B-A71A-4A68-B37C-F478FFD1E4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CFEF26-8853-4A09-AFE4-28FB199B96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Agustina Riggio Nifosi</dc:creator>
  <cp:keywords/>
  <dc:description/>
  <cp:lastModifiedBy>MARIEL DOMÍNGUEZ</cp:lastModifiedBy>
  <cp:revision>2</cp:revision>
  <dcterms:created xsi:type="dcterms:W3CDTF">2020-08-04T18:41:00Z</dcterms:created>
  <dcterms:modified xsi:type="dcterms:W3CDTF">2020-08-04T18:41:00Z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0x0101003A908C5B668F1D4897FF1C78FE83FD9D</vt:lpwstr>
  </property>
</Properties>
</file>